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5.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2024-10-08</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87" w:name="results"/>
    <w:p>
      <w:pPr>
        <w:pStyle w:val="Heading2"/>
      </w:pPr>
      <w:r>
        <w:t xml:space="preserve">Results</w:t>
      </w:r>
    </w:p>
    <w:bookmarkStart w:id="44"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1</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r>
        <w:t xml:space="preserve"> </w:t>
      </w:r>
      <w:hyperlink w:anchor="fig-morph">
        <w:r>
          <w:rPr>
            <w:rStyle w:val="Hyperlink"/>
          </w:rPr>
          <w:t xml:space="preserve">Figure 2</w:t>
        </w:r>
      </w:hyperlink>
    </w:p>
    <w:tbl>
      <w:tblPr>
        <w:tblStyle w:val="Table"/>
        <w:tblW w:type="pct" w:w="5000"/>
        <w:tblLayout w:type="fixed"/>
        <w:tblLook w:firstRow="0" w:lastRow="0" w:firstColumn="0" w:lastColumn="0" w:noHBand="0" w:noVBand="0" w:val="0000"/>
      </w:tblPr>
      <w:tblGrid>
        <w:gridCol w:w="7920"/>
      </w:tblGrid>
      <w:tr>
        <w:tc>
          <w:tcPr/>
          <w:bookmarkStart w:id="37" w:name="fig-viability"/>
          <w:p>
            <w:pPr>
              <w:pStyle w:val="Compact"/>
              <w:jc w:val="center"/>
            </w:pPr>
            <w:r>
              <w:drawing>
                <wp:inline>
                  <wp:extent cx="6324600" cy="5270500"/>
                  <wp:effectExtent b="0" l="0" r="0" t="0"/>
                  <wp:docPr descr="" title="" id="35" name="Picture"/>
                  <a:graphic>
                    <a:graphicData uri="http://schemas.openxmlformats.org/drawingml/2006/picture">
                      <pic:pic>
                        <pic:nvPicPr>
                          <pic:cNvPr descr="images/viability_morph\main_viability.png" id="36" name="Picture"/>
                          <pic:cNvPicPr>
                            <a:picLocks noChangeArrowheads="1" noChangeAspect="1"/>
                          </pic:cNvPicPr>
                        </pic:nvPicPr>
                        <pic:blipFill>
                          <a:blip r:embed="rId34"/>
                          <a:stretch>
                            <a:fillRect/>
                          </a:stretch>
                        </pic:blipFill>
                        <pic:spPr bwMode="auto">
                          <a:xfrm>
                            <a:off x="0" y="0"/>
                            <a:ext cx="6324600" cy="527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Absolute viability.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viability_morph\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p>
      <w:pPr>
        <w:pStyle w:val="CaptionedFigure"/>
      </w:pPr>
      <w:r>
        <w:drawing>
          <wp:inline>
            <wp:extent cx="6324600" cy="3034969"/>
            <wp:effectExtent b="0" l="0" r="0" t="0"/>
            <wp:docPr descr="Morphology for donors one, two, and three. Photos from the same well for each donor throughout the experiment. Scale bars represent 200 µm." title="" id="42" name="Picture"/>
            <a:graphic>
              <a:graphicData uri="http://schemas.openxmlformats.org/drawingml/2006/picture">
                <pic:pic>
                  <pic:nvPicPr>
                    <pic:cNvPr descr="images/viability_morph\morph.png" id="43"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pStyle w:val="ImageCaption"/>
      </w:pPr>
      <w:r>
        <w:t xml:space="preserve">Morphology for donors one, two, and three. Photos from the same well for each donor throughout the experiment. Scale bars represent 200 µm.</w:t>
      </w:r>
    </w:p>
    <w:bookmarkEnd w:id="44"/>
    <w:bookmarkStart w:id="86"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 (</w:t>
      </w:r>
      <w:hyperlink w:anchor="fig-mrna-main-il6">
        <w:r>
          <w:rPr>
            <w:rStyle w:val="Hyperlink"/>
          </w:rPr>
          <w:t xml:space="preserve">Figure 3</w:t>
        </w:r>
      </w:hyperlink>
      <w:r>
        <w:t xml:space="preserve"> </w:t>
      </w:r>
      <w:r>
        <w:t xml:space="preserve">and</w:t>
      </w:r>
      <w:r>
        <w:t xml:space="preserve"> </w:t>
      </w:r>
      <w:hyperlink w:anchor="fig-mrna-main-il1b">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 w:name="fig-mrna-main-il6"/>
          <w:p>
            <w:pPr>
              <w:pStyle w:val="Compact"/>
              <w:jc w:val="center"/>
            </w:pPr>
            <w:r>
              <w:drawing>
                <wp:inline>
                  <wp:extent cx="6324600" cy="5270500"/>
                  <wp:effectExtent b="0" l="0" r="0" t="0"/>
                  <wp:docPr descr="" title="" id="46" name="Picture"/>
                  <a:graphic>
                    <a:graphicData uri="http://schemas.openxmlformats.org/drawingml/2006/picture">
                      <pic:pic>
                        <pic:nvPicPr>
                          <pic:cNvPr descr="images/mRNA\plots\main_normalized_Expression_IL6.png" id="47" name="Picture"/>
                          <pic:cNvPicPr>
                            <a:picLocks noChangeArrowheads="1" noChangeAspect="1"/>
                          </pic:cNvPicPr>
                        </pic:nvPicPr>
                        <pic:blipFill>
                          <a:blip r:embed="rId45"/>
                          <a:stretch>
                            <a:fillRect/>
                          </a:stretch>
                        </pic:blipFill>
                        <pic:spPr bwMode="auto">
                          <a:xfrm>
                            <a:off x="0" y="0"/>
                            <a:ext cx="6324600" cy="527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Normalized expression of CYP1A2, 2B6, 2D6 and 3A4 after treatment with IL-6. Black bars represents overall means. Remove controls in this and the other mrna main????</w:t>
            </w:r>
          </w:p>
          <w:bookmarkEnd w:id="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2" w:name="fig-mrna-main-il1b"/>
          <w:p>
            <w:pPr>
              <w:pStyle w:val="Compact"/>
              <w:jc w:val="center"/>
            </w:pPr>
            <w:r>
              <w:drawing>
                <wp:inline>
                  <wp:extent cx="6324600" cy="5270500"/>
                  <wp:effectExtent b="0" l="0" r="0" t="0"/>
                  <wp:docPr descr="" title="" id="50" name="Picture"/>
                  <a:graphic>
                    <a:graphicData uri="http://schemas.openxmlformats.org/drawingml/2006/picture">
                      <pic:pic>
                        <pic:nvPicPr>
                          <pic:cNvPr descr="images/mRNA\plots\main_normalized_Expression_IL1B.png" id="51" name="Picture"/>
                          <pic:cNvPicPr>
                            <a:picLocks noChangeArrowheads="1" noChangeAspect="1"/>
                          </pic:cNvPicPr>
                        </pic:nvPicPr>
                        <pic:blipFill>
                          <a:blip r:embed="rId49"/>
                          <a:stretch>
                            <a:fillRect/>
                          </a:stretch>
                        </pic:blipFill>
                        <pic:spPr bwMode="auto">
                          <a:xfrm>
                            <a:off x="0" y="0"/>
                            <a:ext cx="6324600" cy="527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Normalized expression of CYP1A2, 2B6, 2D6 and 3A4 after treatment with IL-1B. Black bars represents overall means.</w:t>
            </w:r>
          </w:p>
          <w:bookmarkEnd w:id="52"/>
        </w:tc>
      </w:tr>
    </w:tbl>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tblLayout w:type="fixed"/>
        <w:tblLook w:firstRow="0" w:lastRow="0" w:firstColumn="0" w:lastColumn="0" w:noHBand="0" w:noVBand="0" w:val="0000"/>
      </w:tblPr>
      <w:tblGrid>
        <w:gridCol w:w="7920"/>
      </w:tblGrid>
      <w:tr>
        <w:tc>
          <w:tcPr/>
          <w:bookmarkStart w:id="53" w:name="tbl-CYP3A4_IL6"/>
          <w:p>
            <w:pPr>
              <w:jc w:val="center"/>
            </w:pPr>
            <w:pPr>
              <w:jc w:val="start"/>
              <w:spacing w:before="200"/>
              <w:pStyle w:val="ImageCaption"/>
            </w:pPr>
            <w:r>
              <w:t xml:space="preserve">Table 1: Downregulation of CYP3A4 by IL-6</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IL-6</w:t>
                  </w:r>
                </w:p>
              </w:tc>
              <w:tc>
                <w:tcPr/>
                <w:p>
                  <w:pPr>
                    <w:pStyle w:val="Compact"/>
                    <w:jc w:val="right"/>
                    <w:jc w:val="center"/>
                  </w:pPr>
                  <w:r>
                    <w:t xml:space="preserve">0.9685398</w:t>
                  </w:r>
                </w:p>
              </w:tc>
              <w:tc>
                <w:tcPr/>
                <w:p>
                  <w:pPr>
                    <w:pStyle w:val="Compact"/>
                    <w:jc w:val="right"/>
                    <w:jc w:val="center"/>
                  </w:pPr>
                  <w:r>
                    <w:t xml:space="preserve">3.146024</w:t>
                  </w:r>
                </w:p>
              </w:tc>
            </w:tr>
            <w:tr>
              <w:tc>
                <w:tcPr/>
                <w:p>
                  <w:pPr>
                    <w:pStyle w:val="Compact"/>
                    <w:jc w:val="left"/>
                    <w:jc w:val="center"/>
                  </w:pPr>
                  <w:r>
                    <w:t xml:space="preserve">0.1 ng/ml IL-6</w:t>
                  </w:r>
                </w:p>
              </w:tc>
              <w:tc>
                <w:tcPr/>
                <w:p>
                  <w:pPr>
                    <w:pStyle w:val="Compact"/>
                    <w:jc w:val="right"/>
                    <w:jc w:val="center"/>
                  </w:pPr>
                  <w:r>
                    <w:t xml:space="preserve">0.8568497</w:t>
                  </w:r>
                </w:p>
              </w:tc>
              <w:tc>
                <w:tcPr/>
                <w:p>
                  <w:pPr>
                    <w:pStyle w:val="Compact"/>
                    <w:jc w:val="right"/>
                    <w:jc w:val="center"/>
                  </w:pPr>
                  <w:r>
                    <w:t xml:space="preserve">14.315026</w:t>
                  </w:r>
                </w:p>
              </w:tc>
            </w:tr>
            <w:tr>
              <w:tc>
                <w:tcPr/>
                <w:p>
                  <w:pPr>
                    <w:pStyle w:val="Compact"/>
                    <w:jc w:val="left"/>
                    <w:jc w:val="center"/>
                  </w:pPr>
                  <w:r>
                    <w:t xml:space="preserve">1 ng/ml IL-6</w:t>
                  </w:r>
                </w:p>
              </w:tc>
              <w:tc>
                <w:tcPr/>
                <w:p>
                  <w:pPr>
                    <w:pStyle w:val="Compact"/>
                    <w:jc w:val="right"/>
                    <w:jc w:val="center"/>
                  </w:pPr>
                  <w:r>
                    <w:t xml:space="preserve">0.3306459</w:t>
                  </w:r>
                </w:p>
              </w:tc>
              <w:tc>
                <w:tcPr/>
                <w:p>
                  <w:pPr>
                    <w:pStyle w:val="Compact"/>
                    <w:jc w:val="right"/>
                    <w:jc w:val="center"/>
                  </w:pPr>
                  <w:r>
                    <w:t xml:space="preserve">66.935412</w:t>
                  </w:r>
                </w:p>
              </w:tc>
            </w:tr>
            <w:tr>
              <w:tc>
                <w:tcPr/>
                <w:p>
                  <w:pPr>
                    <w:pStyle w:val="Compact"/>
                    <w:jc w:val="left"/>
                    <w:jc w:val="center"/>
                  </w:pPr>
                  <w:r>
                    <w:t xml:space="preserve">10 ng/ml IL-6</w:t>
                  </w:r>
                </w:p>
              </w:tc>
              <w:tc>
                <w:tcPr/>
                <w:p>
                  <w:pPr>
                    <w:pStyle w:val="Compact"/>
                    <w:jc w:val="right"/>
                    <w:jc w:val="center"/>
                  </w:pPr>
                  <w:r>
                    <w:t xml:space="preserve">0.0637402</w:t>
                  </w:r>
                </w:p>
              </w:tc>
              <w:tc>
                <w:tcPr/>
                <w:p>
                  <w:pPr>
                    <w:pStyle w:val="Compact"/>
                    <w:jc w:val="right"/>
                    <w:jc w:val="center"/>
                  </w:pPr>
                  <w:r>
                    <w:t xml:space="preserve">93.625983</w:t>
                  </w:r>
                </w:p>
              </w:tc>
            </w:tr>
          </w:tbl>
          <w:bookmarkEnd w:id="53"/>
          <w:p/>
        </w:tc>
      </w:tr>
    </w:tbl>
    <w:p>
      <w:pPr>
        <w:pStyle w:val="BodyText"/>
      </w:pPr>
      <w:r>
        <w:t xml:space="preserve">See</w:t>
      </w:r>
      <w:r>
        <w:t xml:space="preserve"> </w:t>
      </w:r>
      <w:hyperlink w:anchor="tbl-CYP3A4_IL6">
        <w:r>
          <w:rPr>
            <w:rStyle w:val="Hyperlink"/>
          </w:rPr>
          <w:t xml:space="preserve">Table 1</w:t>
        </w:r>
      </w:hyperlink>
      <w:r>
        <w:t xml:space="preserve"> </w:t>
      </w:r>
      <w:r>
        <w:t xml:space="preserve">for downregulation</w:t>
      </w:r>
    </w:p>
    <w:tbl>
      <w:tblPr>
        <w:tblStyle w:val="Table"/>
        <w:tblW w:type="pct" w:w="5000"/>
        <w:tblLayout w:type="fixed"/>
        <w:tblLook w:firstRow="0" w:lastRow="0" w:firstColumn="0" w:lastColumn="0" w:noHBand="0" w:noVBand="0" w:val="0000"/>
      </w:tblPr>
      <w:tblGrid>
        <w:gridCol w:w="7920"/>
      </w:tblGrid>
      <w:tr>
        <w:tc>
          <w:tcPr/>
          <w:bookmarkStart w:id="54" w:name="tbl-CYP3A4_IL1B"/>
          <w:p>
            <w:pPr>
              <w:jc w:val="center"/>
            </w:pPr>
            <w:pPr>
              <w:jc w:val="start"/>
              <w:spacing w:before="200"/>
              <w:pStyle w:val="ImageCaption"/>
            </w:pPr>
            <w:r>
              <w:t xml:space="preserve">Table 2: Downregulation of CYP3A4 by IL-1B</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IL-1B</w:t>
                  </w:r>
                </w:p>
              </w:tc>
              <w:tc>
                <w:tcPr/>
                <w:p>
                  <w:pPr>
                    <w:pStyle w:val="Compact"/>
                    <w:jc w:val="right"/>
                    <w:jc w:val="center"/>
                  </w:pPr>
                  <w:r>
                    <w:t xml:space="preserve">0.8556492</w:t>
                  </w:r>
                </w:p>
              </w:tc>
              <w:tc>
                <w:tcPr/>
                <w:p>
                  <w:pPr>
                    <w:pStyle w:val="Compact"/>
                    <w:jc w:val="right"/>
                    <w:jc w:val="center"/>
                  </w:pPr>
                  <w:r>
                    <w:t xml:space="preserve">14.43508</w:t>
                  </w:r>
                </w:p>
              </w:tc>
            </w:tr>
            <w:tr>
              <w:tc>
                <w:tcPr/>
                <w:p>
                  <w:pPr>
                    <w:pStyle w:val="Compact"/>
                    <w:jc w:val="left"/>
                    <w:jc w:val="center"/>
                  </w:pPr>
                  <w:r>
                    <w:t xml:space="preserve">0.1 ng/ml IL-1B</w:t>
                  </w:r>
                </w:p>
              </w:tc>
              <w:tc>
                <w:tcPr/>
                <w:p>
                  <w:pPr>
                    <w:pStyle w:val="Compact"/>
                    <w:jc w:val="right"/>
                    <w:jc w:val="center"/>
                  </w:pPr>
                  <w:r>
                    <w:t xml:space="preserve">0.6039612</w:t>
                  </w:r>
                </w:p>
              </w:tc>
              <w:tc>
                <w:tcPr/>
                <w:p>
                  <w:pPr>
                    <w:pStyle w:val="Compact"/>
                    <w:jc w:val="right"/>
                    <w:jc w:val="center"/>
                  </w:pPr>
                  <w:r>
                    <w:t xml:space="preserve">39.60388</w:t>
                  </w:r>
                </w:p>
              </w:tc>
            </w:tr>
            <w:tr>
              <w:tc>
                <w:tcPr/>
                <w:p>
                  <w:pPr>
                    <w:pStyle w:val="Compact"/>
                    <w:jc w:val="left"/>
                    <w:jc w:val="center"/>
                  </w:pPr>
                  <w:r>
                    <w:t xml:space="preserve">1 ng/ml IL-1B</w:t>
                  </w:r>
                </w:p>
              </w:tc>
              <w:tc>
                <w:tcPr/>
                <w:p>
                  <w:pPr>
                    <w:pStyle w:val="Compact"/>
                    <w:jc w:val="right"/>
                    <w:jc w:val="center"/>
                  </w:pPr>
                  <w:r>
                    <w:t xml:space="preserve">0.2979700</w:t>
                  </w:r>
                </w:p>
              </w:tc>
              <w:tc>
                <w:tcPr/>
                <w:p>
                  <w:pPr>
                    <w:pStyle w:val="Compact"/>
                    <w:jc w:val="right"/>
                    <w:jc w:val="center"/>
                  </w:pPr>
                  <w:r>
                    <w:t xml:space="preserve">70.20300</w:t>
                  </w:r>
                </w:p>
              </w:tc>
            </w:tr>
            <w:tr>
              <w:tc>
                <w:tcPr/>
                <w:p>
                  <w:pPr>
                    <w:pStyle w:val="Compact"/>
                    <w:jc w:val="left"/>
                    <w:jc w:val="center"/>
                  </w:pPr>
                  <w:r>
                    <w:t xml:space="preserve">10 ng/ml IL-1B</w:t>
                  </w:r>
                </w:p>
              </w:tc>
              <w:tc>
                <w:tcPr/>
                <w:p>
                  <w:pPr>
                    <w:pStyle w:val="Compact"/>
                    <w:jc w:val="right"/>
                    <w:jc w:val="center"/>
                  </w:pPr>
                  <w:r>
                    <w:t xml:space="preserve">0.1595929</w:t>
                  </w:r>
                </w:p>
              </w:tc>
              <w:tc>
                <w:tcPr/>
                <w:p>
                  <w:pPr>
                    <w:pStyle w:val="Compact"/>
                    <w:jc w:val="right"/>
                    <w:jc w:val="center"/>
                  </w:pPr>
                  <w:r>
                    <w:t xml:space="preserve">84.04071</w:t>
                  </w:r>
                </w:p>
              </w:tc>
            </w:tr>
          </w:tbl>
          <w:bookmarkEnd w:id="54"/>
          <w:p/>
        </w:tc>
      </w:tr>
    </w:tbl>
    <w:bookmarkStart w:id="85" w:name="refs"/>
    <w:bookmarkStart w:id="56"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5">
        <w:r>
          <w:rPr>
            <w:rStyle w:val="Hyperlink"/>
          </w:rPr>
          <w:t xml:space="preserve">https://onlinelibrary.wiley.com/doi/abs/10.1002/cpt.2432</w:t>
        </w:r>
      </w:hyperlink>
    </w:p>
    <w:bookmarkEnd w:id="56"/>
    <w:bookmarkStart w:id="58"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7">
        <w:r>
          <w:rPr>
            <w:rStyle w:val="Hyperlink"/>
          </w:rPr>
          <w:t xml:space="preserve">https://doi.org/10.1186/1479-5876-9-113</w:t>
        </w:r>
      </w:hyperlink>
    </w:p>
    <w:bookmarkEnd w:id="58"/>
    <w:bookmarkStart w:id="60"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59">
        <w:r>
          <w:rPr>
            <w:rStyle w:val="Hyperlink"/>
          </w:rPr>
          <w:t xml:space="preserve">http://www.hindawi.com/journals/mi/2013/434010/</w:t>
        </w:r>
      </w:hyperlink>
    </w:p>
    <w:bookmarkEnd w:id="60"/>
    <w:bookmarkStart w:id="62"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1">
        <w:r>
          <w:rPr>
            <w:rStyle w:val="Hyperlink"/>
          </w:rPr>
          <w:t xml:space="preserve">https://onlinelibrary.wiley.com/doi/abs/10.1002/jmv.26654</w:t>
        </w:r>
      </w:hyperlink>
    </w:p>
    <w:bookmarkEnd w:id="62"/>
    <w:bookmarkStart w:id="64"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3">
        <w:r>
          <w:rPr>
            <w:rStyle w:val="Hyperlink"/>
          </w:rPr>
          <w:t xml:space="preserve">https://doi.org/10.1186/s13075-020-02344-3</w:t>
        </w:r>
      </w:hyperlink>
    </w:p>
    <w:bookmarkEnd w:id="64"/>
    <w:bookmarkStart w:id="66"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65">
        <w:r>
          <w:rPr>
            <w:rStyle w:val="Hyperlink"/>
          </w:rPr>
          <w:t xml:space="preserve">https://www.hindawi.com/journals/mi/2014/385297/</w:t>
        </w:r>
      </w:hyperlink>
    </w:p>
    <w:bookmarkEnd w:id="66"/>
    <w:bookmarkStart w:id="68"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7">
        <w:r>
          <w:rPr>
            <w:rStyle w:val="Hyperlink"/>
          </w:rPr>
          <w:t xml:space="preserve">https://www.cochranelibrary.com/cdsr/doi/10.1002/14651858.CD011811.pub2/full</w:t>
        </w:r>
      </w:hyperlink>
    </w:p>
    <w:bookmarkEnd w:id="68"/>
    <w:bookmarkStart w:id="70" w:name="ref-bell2016"/>
    <w:p>
      <w:pPr>
        <w:pStyle w:val="Bibliography"/>
      </w:pPr>
      <w:r>
        <w:t xml:space="preserve">8.</w:t>
      </w:r>
      <w:r>
        <w:t xml:space="preserve"> </w:t>
      </w:r>
      <w:r>
        <w:t xml:space="preserve">	</w:t>
      </w:r>
      <w:r>
        <w:t xml:space="preserve">Bell CC, Hendriks DFG, Moro SML, Ellis E, Walsh J, Renblom A, et al.</w:t>
      </w:r>
      <w:r>
        <w:t xml:space="preserve"> </w:t>
      </w:r>
      <w:hyperlink r:id="rId69">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0"/>
    <w:bookmarkStart w:id="72"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1">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2"/>
    <w:bookmarkStart w:id="74"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3">
        <w:r>
          <w:rPr>
            <w:rStyle w:val="Hyperlink"/>
          </w:rPr>
          <w:t xml:space="preserve">https://onlinelibrary.wiley.com/doi/abs/10.1002/cpt.2887</w:t>
        </w:r>
      </w:hyperlink>
    </w:p>
    <w:bookmarkEnd w:id="74"/>
    <w:bookmarkStart w:id="76"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5">
        <w:r>
          <w:rPr>
            <w:rStyle w:val="Hyperlink"/>
          </w:rPr>
          <w:t xml:space="preserve">https://onlinelibrary.wiley.com/doi/abs/10.1111/bcpt.13587</w:t>
        </w:r>
      </w:hyperlink>
    </w:p>
    <w:bookmarkEnd w:id="76"/>
    <w:bookmarkStart w:id="78"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7">
        <w:r>
          <w:rPr>
            <w:rStyle w:val="Hyperlink"/>
          </w:rPr>
          <w:t xml:space="preserve">https://www.sciencedirect.com/science/article/pii/S2215016118300773</w:t>
        </w:r>
      </w:hyperlink>
    </w:p>
    <w:bookmarkEnd w:id="78"/>
    <w:bookmarkStart w:id="80"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79">
        <w:r>
          <w:rPr>
            <w:rStyle w:val="Hyperlink"/>
          </w:rPr>
          <w:t xml:space="preserve">https://www.sciencedirect.com/science/article/pii/S1046202309002461</w:t>
        </w:r>
      </w:hyperlink>
    </w:p>
    <w:bookmarkEnd w:id="80"/>
    <w:bookmarkStart w:id="82"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1">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2"/>
    <w:bookmarkStart w:id="84"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3">
        <w:r>
          <w:rPr>
            <w:rStyle w:val="Hyperlink"/>
          </w:rPr>
          <w:t xml:space="preserve">https://dmd.aspetjournals.org/content/48/7/594</w:t>
        </w:r>
      </w:hyperlink>
    </w:p>
    <w:bookmarkEnd w:id="84"/>
    <w:bookmarkEnd w:id="85"/>
    <w:bookmarkEnd w:id="86"/>
    <w:bookmarkEnd w:id="87"/>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59"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83" Target="https://dmd.aspetjournals.org/content/48/7/594" TargetMode="External" /><Relationship Type="http://schemas.openxmlformats.org/officeDocument/2006/relationships/hyperlink" Id="rId69" Target="https://doi.org/10.1038/srep25187" TargetMode="External" /><Relationship Type="http://schemas.openxmlformats.org/officeDocument/2006/relationships/hyperlink" Id="rId71" Target="https://doi.org/10.1093/toxsci/kfx289" TargetMode="External" /><Relationship Type="http://schemas.openxmlformats.org/officeDocument/2006/relationships/hyperlink" Id="rId81" Target="https://doi.org/10.1124/dmd.117.078626" TargetMode="External" /><Relationship Type="http://schemas.openxmlformats.org/officeDocument/2006/relationships/hyperlink" Id="rId57" Target="https://doi.org/10.1186/1479-5876-9-113" TargetMode="External" /><Relationship Type="http://schemas.openxmlformats.org/officeDocument/2006/relationships/hyperlink" Id="rId63" Target="https://doi.org/10.1186/s13075-020-02344-3" TargetMode="External" /><Relationship Type="http://schemas.openxmlformats.org/officeDocument/2006/relationships/hyperlink" Id="rId55" Target="https://onlinelibrary.wiley.com/doi/abs/10.1002/cpt.2432" TargetMode="External" /><Relationship Type="http://schemas.openxmlformats.org/officeDocument/2006/relationships/hyperlink" Id="rId73" Target="https://onlinelibrary.wiley.com/doi/abs/10.1002/cpt.2887" TargetMode="External" /><Relationship Type="http://schemas.openxmlformats.org/officeDocument/2006/relationships/hyperlink" Id="rId61" Target="https://onlinelibrary.wiley.com/doi/abs/10.1002/jmv.26654" TargetMode="External" /><Relationship Type="http://schemas.openxmlformats.org/officeDocument/2006/relationships/hyperlink" Id="rId75" Target="https://onlinelibrary.wiley.com/doi/abs/10.1111/bcpt.13587" TargetMode="External" /><Relationship Type="http://schemas.openxmlformats.org/officeDocument/2006/relationships/hyperlink" Id="rId67" Target="https://www.cochranelibrary.com/cdsr/doi/10.1002/14651858.CD011811.pub2/full" TargetMode="External" /><Relationship Type="http://schemas.openxmlformats.org/officeDocument/2006/relationships/hyperlink" Id="rId65" Target="https://www.hindawi.com/journals/mi/2014/385297/" TargetMode="External" /><Relationship Type="http://schemas.openxmlformats.org/officeDocument/2006/relationships/hyperlink" Id="rId79" Target="https://www.sciencedirect.com/science/article/pii/S1046202309002461" TargetMode="External" /><Relationship Type="http://schemas.openxmlformats.org/officeDocument/2006/relationships/hyperlink" Id="rId77"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59"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83" Target="https://dmd.aspetjournals.org/content/48/7/594" TargetMode="External" /><Relationship Type="http://schemas.openxmlformats.org/officeDocument/2006/relationships/hyperlink" Id="rId69" Target="https://doi.org/10.1038/srep25187" TargetMode="External" /><Relationship Type="http://schemas.openxmlformats.org/officeDocument/2006/relationships/hyperlink" Id="rId71" Target="https://doi.org/10.1093/toxsci/kfx289" TargetMode="External" /><Relationship Type="http://schemas.openxmlformats.org/officeDocument/2006/relationships/hyperlink" Id="rId81" Target="https://doi.org/10.1124/dmd.117.078626" TargetMode="External" /><Relationship Type="http://schemas.openxmlformats.org/officeDocument/2006/relationships/hyperlink" Id="rId57" Target="https://doi.org/10.1186/1479-5876-9-113" TargetMode="External" /><Relationship Type="http://schemas.openxmlformats.org/officeDocument/2006/relationships/hyperlink" Id="rId63" Target="https://doi.org/10.1186/s13075-020-02344-3" TargetMode="External" /><Relationship Type="http://schemas.openxmlformats.org/officeDocument/2006/relationships/hyperlink" Id="rId55" Target="https://onlinelibrary.wiley.com/doi/abs/10.1002/cpt.2432" TargetMode="External" /><Relationship Type="http://schemas.openxmlformats.org/officeDocument/2006/relationships/hyperlink" Id="rId73" Target="https://onlinelibrary.wiley.com/doi/abs/10.1002/cpt.2887" TargetMode="External" /><Relationship Type="http://schemas.openxmlformats.org/officeDocument/2006/relationships/hyperlink" Id="rId61" Target="https://onlinelibrary.wiley.com/doi/abs/10.1002/jmv.26654" TargetMode="External" /><Relationship Type="http://schemas.openxmlformats.org/officeDocument/2006/relationships/hyperlink" Id="rId75" Target="https://onlinelibrary.wiley.com/doi/abs/10.1111/bcpt.13587" TargetMode="External" /><Relationship Type="http://schemas.openxmlformats.org/officeDocument/2006/relationships/hyperlink" Id="rId67" Target="https://www.cochranelibrary.com/cdsr/doi/10.1002/14651858.CD011811.pub2/full" TargetMode="External" /><Relationship Type="http://schemas.openxmlformats.org/officeDocument/2006/relationships/hyperlink" Id="rId65" Target="https://www.hindawi.com/journals/mi/2014/385297/" TargetMode="External" /><Relationship Type="http://schemas.openxmlformats.org/officeDocument/2006/relationships/hyperlink" Id="rId79" Target="https://www.sciencedirect.com/science/article/pii/S1046202309002461" TargetMode="External" /><Relationship Type="http://schemas.openxmlformats.org/officeDocument/2006/relationships/hyperlink" Id="rId77"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2024-10-08T11:19:13Z</dcterms:created>
  <dcterms:modified xsi:type="dcterms:W3CDTF">2024-10-08T11:19:13Z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2024-10-08</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